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2020 40 vom 16. Juli 2020</w:t>
      </w:r>
    </w:p>
    <w:p>
      <w:r>
        <w:t>GR Gerichte, 2020-07-16, DE</w:t>
      </w:r>
    </w:p>
    <w:p>
      <w:r>
        <w:rPr>
          <w:b/>
        </w:rPr>
        <w:t xml:space="preserve">Quelle: </w:t>
      </w:r>
      <w:r>
        <w:t>https://mcp.opencaselaw.ch/entscheid/gr_gerichte_SK2 2020 40</w:t>
      </w:r>
    </w:p>
    <w:p>
      <w:r>
        <w:t>FR: GR_GERICHTE SK2 2020 40 du 16 juillet 2020</w:t>
      </w:r>
    </w:p>
    <w:p>
      <w:r>
        <w:t>IT: GR_GERICHTE SK2 2020 40 del 16 luglio 2020</w:t>
      </w:r>
    </w:p>
    <w:p>
      <w:pPr>
        <w:pStyle w:val="Heading2"/>
      </w:pPr>
      <w:r>
        <w:t>Regeste</w:t>
      </w:r>
    </w:p>
    <w:p>
      <w:r>
        <w:t>Betrug gem. Art. 146 Abs. 1 StGB (Kostenentscheid) | Beschwerde gegen StA, Einstellungsverfügung</w:t>
      </w:r>
    </w:p>
    <w:p>
      <w:pPr>
        <w:pStyle w:val="Heading2"/>
      </w:pPr>
      <w:r>
        <w:t>Erwägungen</w:t>
      </w:r>
    </w:p>
    <w:p>
      <w:r>
        <w:rPr>
          <w:b/>
        </w:rPr>
        <w:t>E. 1</w:t>
      </w:r>
    </w:p>
    <w:p>
      <w:r>
        <w:t>Gemäss Art. 322 Abs. 2 sowie Art. 393 Abs. 1 lit. a StPO in Verbindung mit Art. 22 des Einführungsgesetzes zur Schweizerischen Strafprozessordnung (EGzStPO; BR 350.100) kann gegen Einstellungsverfügungen der Staatsanwalt- schaft beim Kantonsgericht von Graubünden Beschwerde geführt werden. Die</w:t>
      </w:r>
    </w:p>
    <w:p>
      <w:r>
        <w:rPr>
          <w:b/>
        </w:rPr>
        <w:t>E. 3</w:t>
      </w:r>
    </w:p>
    <w:p>
      <w:r>
        <w:t>/ 6 Behandlung der Beschwerde fällt in die Zuständigkeit der II. Strafkammer (Art. 10 Abs. 1 der Kantonsgerichtsverordnung [KGV; BR 173.110]). 2.1. Die Beschwerde ist innert 10 Tagen schriftlich und begründet bei der Be- schwerdeinstanz einzureichen (Art. 396 Abs. 1 i.V.m. Art. 385 StPO). Mit der Ein- gabe vom 11. Juni 2020 (KG act. A.1) wurde diese Frist gewahrt. In der Begrün- dung ist sodann schlüssig zu behaupten, dass und weshalb ein Beschwerdegrund vorliege. Die Anforderungen an die Beschwerdebegründung dürfen zwar nicht überspannt werden, doch hat sich die Begründung zumindest in minimaler Form mit dem angefochtenen Entscheid auseinanderzusetzen (BGE 131 II 449 E. 1.3). Daran mangelt es, wenn die Richtigkeit der tatsächlichen oder rechtlichen Erwä- gungen der angefochtenen Handlung nur pauschal bestritten wird. Die Gründe, welche einen anderen Entscheid nahelegen, müssen sich grundsätzlich aus der Beschwerdeschrift selbst ergeben. Als ungenügend angesehen werden deshalb allgemeine Verweise auf Ausführungen in Rechtsschriften anderer Verfahren oder gar auf die Gesamtheit der Akten, da es nicht Aufgabe der Beschwerdeinstanz ist, nach Beschwerdegründen samt den dazugehörigen Anträgen zu suchen (vgl. zum Ganzen Patrick Guidon, in: Niggli/Heer/Wiprächtiger [Hrsg.], Basler Kommentar, Schweizerische Strafprozessordnung, 2. Auflage, Basel 2014, N 9 ff. zu Art. 396 StPO). 2.2. Die Anforderungen an die Begründung sind relativ hoch und sie muss im vorstehenden Sinne in der Beschwerdeschrift selbst enthalten sein. Eine nachträg- liche Ergänzung, Vervollständigung oder Korrektur ist nicht zulässig (Urteil des Bundesgerichts 1B_183/2012 vom 20. November 2012 E. 2 m.w.H.). Dies gilt ins- besondere für Rechtsanwälte, grundsätzlich aber auch für juristische Laien, wel- che in der Rechtsmittelbelehrung auf die Begründungsanforderung aufmerksam gemacht worden sind. Gemäss der bundesgerichtlichen Rechtsprechung hat sich auch ein Laie die Mühe zu machen, in der Beschwerde wenigstens kurz anzuge- ben, was an der angefochtenen Verfügung bemängelt wird. Zumindest aber ist er verpflichtet, sich unverzüglich und vor Ablauf der Frist in Bezug auf die Begrün- dunganforderungen zu erkundigen (Urteil des Bundesgerichts 6B_872/2013 vom 17. Oktober 2013 E. 3; Patrick Guidon, a.a.O., N 9e zu Art. 396 StPO; Andreas J. Keller, in: Donatsch/Hansjakob/Lieber [Hrsg.], Kommentar zur Schweizerische Strafprozessordnung [StPO], 2. Auflage, Zürich 2014, N 15 zu Art. 396 StPO). Nicht verbesserungsfähig im Sinne von Art. 385 Abs. 2 StPO sind jedenfalls Ein- gaben, welche sich gar nicht mir der vorinstanzlichen Argumentation auseinander- setzen, da Sinn und Zweck einer allfälligen Verbesserung nicht darin liegen kann,</w:t>
      </w:r>
    </w:p>
    <w:p>
      <w:r>
        <w:rPr>
          <w:b/>
        </w:rPr>
        <w:t>E. 4</w:t>
      </w:r>
    </w:p>
    <w:p>
      <w:r>
        <w:t>/ 6 die Beschwerdefrist zu verlängern (vgl. Beschluss des Kantonsgerichts von Graubünden SK2 15 18 vom 17. September 2015 E. 3.4). 2.3. Die Beschwerdeinstanz wendet das Recht von Amtes wegen an. Sie ist weder an die Argumente in der Beschwerde noch an die Erwägungen der Vor- instanz gebunden, weshalb sie die Beschwerde auch aus anderen als den geltend gemachten Gründen gutheissen oder abweisen kann. Sie prüft in erster Linie die geltend gemachten Rügen, kann jedoch darüber hinaus gehen, wenn die Mängel geradezu auf der Hand liegen. Dies setzt aber voraus, dass auf die Beschwerde überhaupt eingetreten werden kann, diese also wenigstens die minimalen Be- gründungsanforderungen von Art. 396 Abs. 1 i.V.m. Art. 385 Abs. 1 StPO erfüllt (vgl. BGE 134 II 244 E. 2.1 in Bezug auf Art. 42 Abs. 2 BGG). 2.4. Zur Begründung der Kostenauflage an den Beschwerdeführer führte die Staatsanwaltschaft aus, dass dieser eine Vertragsverletzung im Sinne von Art. 97 OR begangen habe, als er sich nicht an den Mietvertrag hielt, weshalb ihm gestützt auf Art. 426 Abs. 2 StPO die Verfahrenskosten aufzuerlegen seien (ange- fochtene Verfügung, E. 7). 2.5. Hiergegen bringt der Beschwerdeführer in seiner Eingabe vom 11. Juni 2020 (KG act. A.1) lediglich vor, der "Kläger" (gemeint wohl: die Beschwerdegeg- nerin) habe durch verdrehte Tatsachen und falsche Behauptungen bzw. Aussagen das Strafverfahren in Gang gesetzt. Folglich sei es nur recht und billig, wenn der "Kläger" auch für die Kosten aufkomme, sofern diese nicht der Staatskasse aufer- legt werden könnten. Er sehe nicht ein, dass er für etwas bezahlen solle, was er weder verursacht noch verschuldet habe. In seiner Eingabe vom 27. Juni 2020 (KG act. A.2) hält der Beschwerdeführer sodann fest, die Behauptungen und un- wahren Angaben des "Klägers" seien widerlegbar. 2.6. Wie ausgeführt ging die Staatsanwaltschaft vorliegend davon aus, dass dem Beschwerdeführer zwar kein strafrechtliches Verhalten im Sinne von Art. 146 StGB zur Last gelegt werden könne, dieser jedoch eine Vertragsverletzung im Sinne von Art. 97 OR begangen habe. Sofern sich die Rügen des Beschwerdefüh- rers gegen die von der Staatsanwaltschaft angenommene Vertragsverletzung rich- ten, bleiben sie gänzlich unbegründet. Der Beschwerdeführer legt nicht ansatz- weise dar, inwiefern die Behauptungen der Beschwerdegegnerin unrichtig seien bzw. durch welche Beweismittel sie widerlegt würden. Umso weniger zeigt er auf, weshalb die Annahme einer Vertragsverletzung als Grund für die Kostenüberbin- dung unrichtig sein sollte.</w:t>
      </w:r>
    </w:p>
    <w:p>
      <w:r>
        <w:rPr>
          <w:b/>
        </w:rPr>
        <w:t>E. 5</w:t>
      </w:r>
    </w:p>
    <w:p>
      <w:r>
        <w:t>/ 6 2.7. Die Beschwerde genügt den Begründungsanforderungen daher klarerweise nicht, weshalb darauf nicht einzutreten ist. Die vorliegende Verfügung ergeht da- her gestützt auf Art. 18 Abs. 3 des Gerichtsorganisationsgesetzes (GOG; BR 173.000) in einzelrichterlicher Kompetenz. 3. Der Vollständigkeit halber ist Folgendes festzuhalten: Zunächst will nicht recht einleuchten, warum es sich bei einer offenbar eigenmächtigen Beanspru- chung fremden Eigentums um eine Vertragsverletzung handeln sollte, zumal sich die Unrechtmässigkeit der Benützung der (zusätzlichen) Parkplätze aus dem Um- stand ergeben soll, dass hieran kein Mietverhältnis besteht. Die Annahme einer Eigentumsverletzung im Sinne von Art. 641 Abs. 2 ZGB liegt jedenfalls näher. So- dann ist offensichtlich nicht erkennbar, inwiefern die Beschwerdegegnerin bei der angeblich eigenmächtig vollzogenen Benützung der Parkplätze durch den Be- schwerdeführer eine Vermögensdisposition vorgenommen haben könnte. Auch fällt ein versuchter Betrug klarerweise von vornherein ausser Betracht, da der Be- schwerdeführer die Beschwerdegegnerin nicht zu einer Vermögensverfügung be- wegen wollte, sondern die Parkplätze eigenmächtig benutzte. Unter diesen Um- ständen hätte ohne weiteres eine Nichtanhandnahme verfügt werden sollen, da nicht ansatzweise zu erkennen ist, inwiefern das dem Beschwerdeführer vorge- worfene Verhalten – selbst wenn man es als erstellt ansehen würde – einen Straf- tatbestand erfüllen könnte. Es handelte sich vielmehr um eine rein zivilrechtliche Streitigkeit. Bei einer solchen rechtfertigt sich die Eröffnung eines Strafverfahrens indes nicht. Mit anderen Worten lag die Verfahrenseröffnung ausserhalb des pflichtgemässen Ermessens der Staatsanwaltschaft, sodass die angebliche Ver- tragsverletzung des Beschwerdeführers nicht adäquate Ursache für das Strafver- fahren und die dabei anfallenden Kosten war (vgl. zum Ganzen BGE 144 IV 202 E. 2.2; Urteil des Bundesgerichts 6B_925/2018 vom 7. März 2019 E. 1.3 m.w.H.). Da aber die Beschwerde den Begründungsanforderungen offensichtlich nicht genügt, kann die fehlerhafte Kostenauflage an den Beschwerdeführer nicht von Amtes wegen korrigiert werden (siehe oben E. 2.3). 4. Die Kosten des vorliegenden Beschwerdeverfahrens werden in Anwendung von Art. 8 i.V.m. Art. 10 der Verordnung über die Gerichtsgebühren in Strafverfah- ren (VGS; BR 350.210) auf CHF 500.00 festgelegt und gehen zu Lasten des Be- schwerdeführers. Da auf das Einholen von Stellungnahmen verzichtet wurde, sind keine ausseramtlichen Entschädigungen zuzusprechen.</w:t>
      </w:r>
    </w:p>
    <w:p>
      <w:r>
        <w:rPr>
          <w:b/>
        </w:rPr>
        <w:t>E. 6</w:t>
      </w:r>
    </w:p>
    <w:p>
      <w:r>
        <w:t>/ 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